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 xml:space="preserve">  </w:t>
      </w:r>
      <w:r>
        <w:rPr/>
        <w:t>Приложение №7</w:t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>УТВЕРЖДЕНА</w:t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>приказом МЧС России</w:t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>от 08.07.2020 N 503</w:t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  <w:t>Форма</w:t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tbl>
      <w:tblPr>
        <w:tblW w:w="107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2"/>
        <w:gridCol w:w="4546"/>
        <w:gridCol w:w="2942"/>
      </w:tblGrid>
      <w:tr>
        <w:trPr/>
        <w:tc>
          <w:tcPr>
            <w:tcW w:w="3282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942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282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6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(лицензирующий орган)</w:t>
            </w:r>
          </w:p>
        </w:tc>
        <w:tc>
          <w:tcPr>
            <w:tcW w:w="2942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tbl>
      <w:tblPr>
        <w:tblW w:w="107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0"/>
      </w:tblGrid>
      <w:tr>
        <w:trPr/>
        <w:tc>
          <w:tcPr>
            <w:tcW w:w="1077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bookmarkStart w:id="0" w:name="Par418"/>
            <w:bookmarkEnd w:id="0"/>
            <w:r>
              <w:rPr/>
              <w:t>ЗАЯВЛЕНИЕ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/>
              <w:t>о внесении изменений в реестр лицензий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/>
              <w:t>(для юридического лица)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tbl>
      <w:tblPr>
        <w:tblW w:w="107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9"/>
        <w:gridCol w:w="340"/>
        <w:gridCol w:w="623"/>
        <w:gridCol w:w="340"/>
        <w:gridCol w:w="680"/>
        <w:gridCol w:w="4991"/>
        <w:gridCol w:w="2946"/>
      </w:tblGrid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Заявитель</w:t>
            </w:r>
          </w:p>
        </w:tc>
        <w:tc>
          <w:tcPr>
            <w:tcW w:w="9580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580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и (в случае, если имеется) сокращенное наименование юридического лица, в том числе фирменное)</w:t>
            </w:r>
          </w:p>
        </w:tc>
      </w:tr>
      <w:tr>
        <w:trPr/>
        <w:tc>
          <w:tcPr>
            <w:tcW w:w="2832" w:type="dxa"/>
            <w:gridSpan w:val="5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адрес места нахождения:</w:t>
            </w:r>
          </w:p>
        </w:tc>
        <w:tc>
          <w:tcPr>
            <w:tcW w:w="7937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9" w:type="dxa"/>
            <w:gridSpan w:val="7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адреса мест осуществления лицензируемого вида деятельности (адрес места нахождения и (или) адреса филиалов): ____________________________________</w:t>
            </w:r>
          </w:p>
        </w:tc>
      </w:tr>
      <w:tr>
        <w:trPr/>
        <w:tc>
          <w:tcPr>
            <w:tcW w:w="1812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почтовый адрес</w:t>
            </w:r>
          </w:p>
        </w:tc>
        <w:tc>
          <w:tcPr>
            <w:tcW w:w="8957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9" w:type="dxa"/>
            <w:gridSpan w:val="7"/>
            <w:tcBorders/>
          </w:tcPr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________, факс (при наличии): ________, электронная почта (при наличии): ___________________________________________________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организационно-правовая форма: ___________________________________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государственный        регистрационный      номер      записи      о      создании юридического лица: ______________, свидетельство о государственной регистрации юридического лица: 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____ N ______________, выдано "__" ___________ 20__ г. 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(ИНН): _______________________ серия: _____, N: _________________, выдано "__" _________ 20__ г. 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документа, подтверждающего  факт      уплаты      государственной      пошлины      за    внесение изменений в    реестр лицензий, либо иные сведения, подтверждающие факт уплаты государственной пошлины, __________________________________________________________________________________________________________</w:t>
            </w:r>
          </w:p>
          <w:p>
            <w:pPr>
              <w:pStyle w:val="ConsPlusNonformat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                                                                  </w:t>
            </w:r>
            <w:r>
              <w:rPr>
                <w:rFonts w:ascii="Times New Roman" w:hAnsi="Times New Roman"/>
              </w:rPr>
              <w:t>(дата и номер документа)</w:t>
            </w:r>
          </w:p>
        </w:tc>
      </w:tr>
      <w:tr>
        <w:trPr/>
        <w:tc>
          <w:tcPr>
            <w:tcW w:w="1076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6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 xml:space="preserve">(сведения, предусмотренные частью 9 статьи 18 Федерального закона от 4 мая 2011 г. N 99-ФЗ "О лицензировании отдельных видов деятельности" </w:t>
            </w:r>
            <w:hyperlink w:anchor="Par485" w:tgtFrame="&lt;1&gt; Собрание законодательства Российской Федерации, 2011, N 19, ст. 2716; 2021, N 24, ст. 4188.">
              <w:r>
                <w:rPr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в лице</w:t>
            </w:r>
          </w:p>
        </w:tc>
        <w:tc>
          <w:tcPr>
            <w:tcW w:w="9920" w:type="dxa"/>
            <w:gridSpan w:val="6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920" w:type="dxa"/>
            <w:gridSpan w:val="6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руководителя, фамилия, имя, отчество (при наличии)</w:t>
            </w:r>
          </w:p>
        </w:tc>
      </w:tr>
      <w:tr>
        <w:trPr/>
        <w:tc>
          <w:tcPr>
            <w:tcW w:w="7823" w:type="dxa"/>
            <w:gridSpan w:val="6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просит внести изменения в реестр лицензий от "__" ____________ г. N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в связи с</w:t>
            </w:r>
          </w:p>
        </w:tc>
        <w:tc>
          <w:tcPr>
            <w:tcW w:w="9580" w:type="dxa"/>
            <w:gridSpan w:val="5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189" w:type="dxa"/>
            <w:gridSpan w:val="2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580" w:type="dxa"/>
            <w:gridSpan w:val="5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(причина)</w:t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на осуществление:</w:t>
            </w:r>
          </w:p>
        </w:tc>
        <w:tc>
          <w:tcPr>
            <w:tcW w:w="8617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2152" w:type="dxa"/>
            <w:gridSpan w:val="4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617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 xml:space="preserve">(лицензируемый вид деятельности </w:t>
            </w:r>
            <w:hyperlink r:id="rId2" w:tgtFrame="&lt;2&gt; Пункты 14 или 15 части 1 статьи 12 Федерального закона от 04.05.2011 N 99-ФЗ \&quot;О лицензировании отдельных видов деятельности\">
              <w:r>
                <w:rPr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sz w:val="20"/>
                <w:szCs w:val="20"/>
              </w:rPr>
              <w:t xml:space="preserve"> с указанием выполняемых работ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(оказываемых услуг)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tbl>
      <w:tblPr>
        <w:tblW w:w="1071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3"/>
        <w:gridCol w:w="3969"/>
        <w:gridCol w:w="4928"/>
      </w:tblGrid>
      <w:tr>
        <w:trPr/>
        <w:tc>
          <w:tcPr>
            <w:tcW w:w="181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Руководитель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92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</w:rPr>
            </w:pPr>
            <w:r>
              <w:rPr/>
              <w:t>с условиями и требованиями</w:t>
            </w:r>
          </w:p>
        </w:tc>
      </w:tr>
      <w:tr>
        <w:trPr/>
        <w:tc>
          <w:tcPr>
            <w:tcW w:w="1813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(сокращенное или полное наименование юридического лица)</w:t>
            </w:r>
          </w:p>
        </w:tc>
        <w:tc>
          <w:tcPr>
            <w:tcW w:w="492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710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лицензирования, а также нормативными правовыми актами, регулирующими осуществление данного вида деятельности, ознакомлен и обязуется соблюдать.</w:t>
            </w:r>
          </w:p>
        </w:tc>
      </w:tr>
      <w:tr>
        <w:trPr/>
        <w:tc>
          <w:tcPr>
            <w:tcW w:w="10710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Приложение: документы для внесения изменений в реестр лицензий согласно описи на _______ л.</w:t>
            </w:r>
          </w:p>
        </w:tc>
      </w:tr>
      <w:tr>
        <w:trPr/>
        <w:tc>
          <w:tcPr>
            <w:tcW w:w="10710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both"/>
              <w:rPr>
                <w:rFonts w:ascii="Times New Roman" w:hAnsi="Times New Roman"/>
              </w:rPr>
            </w:pPr>
            <w:r>
              <w:rPr/>
              <w:t>Отметка о направлении информации по вопросам лицензирования в электронной форме: направлять информацию; не направлять информацию.</w:t>
            </w:r>
          </w:p>
        </w:tc>
      </w:tr>
      <w:tr>
        <w:trPr/>
        <w:tc>
          <w:tcPr>
            <w:tcW w:w="10710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tbl>
      <w:tblPr>
        <w:tblW w:w="907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340"/>
        <w:gridCol w:w="2381"/>
        <w:gridCol w:w="340"/>
        <w:gridCol w:w="2948"/>
      </w:tblGrid>
      <w:tr>
        <w:trPr/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 и инициалы)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firstLine="540"/>
        <w:jc w:val="both"/>
        <w:rPr>
          <w:rFonts w:ascii="Times New Roman" w:hAnsi="Times New Roman"/>
        </w:rPr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>
          <w:sz w:val="20"/>
          <w:szCs w:val="20"/>
        </w:rPr>
      </w:pPr>
      <w:bookmarkStart w:id="1" w:name="Par485"/>
      <w:bookmarkEnd w:id="1"/>
      <w:r>
        <w:rPr>
          <w:sz w:val="20"/>
          <w:szCs w:val="20"/>
        </w:rPr>
        <w:t>&lt;1&gt; Собрание законодательства Российской Федерации, 2011, N 19, ст. 2716; 2021, N 24, ст. 4188.</w:t>
      </w:r>
    </w:p>
    <w:p>
      <w:pPr>
        <w:pStyle w:val="ConsPlusNormal"/>
        <w:bidi w:val="0"/>
        <w:spacing w:before="240" w:after="0"/>
        <w:ind w:left="0" w:firstLine="540"/>
        <w:jc w:val="both"/>
        <w:rPr>
          <w:sz w:val="20"/>
          <w:szCs w:val="20"/>
        </w:rPr>
      </w:pPr>
      <w:bookmarkStart w:id="2" w:name="Par486"/>
      <w:bookmarkEnd w:id="2"/>
      <w:r>
        <w:rPr>
          <w:sz w:val="20"/>
          <w:szCs w:val="20"/>
        </w:rPr>
        <w:t>&lt;2&gt; Пункты 14 или 15 части 1 статьи 12 Федерального закона от 04.05.2011 N 99-ФЗ "О лицензировании отдельных видов деятельности" (Собрание законодательства Российской Федерации, 2011, N 19, ст. 2716; 2014, N 42, ст. 5615).</w:t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both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rFonts w:ascii="Times New Roman" w:hAnsi="Times New Roman"/>
        </w:rPr>
      </w:pPr>
      <w:r>
        <w:rPr/>
      </w:r>
    </w:p>
    <w:p>
      <w:pPr>
        <w:pStyle w:val="ConsPlusNormal"/>
        <w:bidi w:val="0"/>
        <w:ind w:left="0" w:hanging="0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595" w:right="595" w:header="0" w:top="555" w:footer="0" w:bottom="84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&#1047;&#1072;&#1075;&#1088;&#1091;&#1079;&#1082;&#1080;/5615).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LibreOffice_project/72d9d5113b23a0ed474720f9d366fcde9a2744dd</Application>
  <Pages>2</Pages>
  <Words>307</Words>
  <Characters>2345</Characters>
  <CharactersWithSpaces>2733</CharactersWithSpaces>
  <Paragraphs>44</Paragraphs>
  <Company>КонсультантПлюс Версия 4021.00.50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2022-05-11T13:48:00Z</dcterms:created>
  <dc:creator/>
  <dc:description/>
  <dc:language>ru-RU</dc:language>
  <cp:lastModifiedBy/>
  <dcterms:modified xsi:type="dcterms:W3CDTF">2024-01-31T09:56:27Z</dcterms:modified>
  <cp:revision>5</cp:revision>
  <dc:subject/>
  <dc:title>Приказ МЧС России от 08.07.2020 N 503(ред. от 10.02.2022)"Об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сооружений"(Зарегистрировано в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4021.00.50</vt:lpwstr>
  </property>
</Properties>
</file>